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2CA77" w14:textId="77777777" w:rsidR="00465CD4" w:rsidRDefault="009873CA" w:rsidP="009873CA">
      <w:pPr>
        <w:pStyle w:val="52AheadHeadingsHeadingstyles"/>
      </w:pPr>
      <w:r>
        <w:t>Headline</w:t>
      </w:r>
    </w:p>
    <w:p w14:paraId="1EDE3B55" w14:textId="77777777" w:rsidR="009873CA" w:rsidRDefault="009873CA"/>
    <w:p w14:paraId="4E96E858" w14:textId="1828F8BF" w:rsidR="009873CA" w:rsidRDefault="009873CA" w:rsidP="009873CA">
      <w:pPr>
        <w:pStyle w:val="52AheadHeadingsHeadingstyles"/>
      </w:pPr>
      <w:r>
        <w:t>Keywords</w:t>
      </w:r>
    </w:p>
    <w:p w14:paraId="76DB7CFE" w14:textId="38DF2EB4" w:rsidR="005C0A16" w:rsidRPr="005C0A16" w:rsidRDefault="005C0A16" w:rsidP="005C0A16">
      <w:r w:rsidRPr="213CEFC4">
        <w:rPr>
          <w:rFonts w:cs="Arial"/>
          <w:sz w:val="18"/>
          <w:szCs w:val="18"/>
        </w:rPr>
        <w:t>HYPERCHOLESTEROLAEMIA; HYPERLIPOPROTEINEMIA TYPE II; CARDIOVASCULAR DISEASES; GENETIC TESTING; CHOLESTEROL; HEART DISEASE RISK FACTORS; PEDIGREE</w:t>
      </w:r>
    </w:p>
    <w:sectPr w:rsidR="005C0A16" w:rsidRPr="005C0A16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1A3B5F"/>
    <w:rsid w:val="00465CD4"/>
    <w:rsid w:val="005C0A16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53F380DE-6C2A-FB4F-B4CD-23CC242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140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2022-07-08T11:01:00Z</dcterms:modified>
</cp:coreProperties>
</file>